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04" w:lineRule="auto"/>
      </w:pPr>
      <w:r>
        <w:t>门户首页</w:t>
      </w:r>
    </w:p>
    <w:p>
      <w:pPr>
        <w:pStyle w:val="3"/>
        <w:numPr>
          <w:ilvl w:val="1"/>
          <w:numId w:val="1"/>
        </w:numPr>
        <w:spacing w:line="204" w:lineRule="auto"/>
        <w:rPr>
          <w:sz w:val="32"/>
        </w:rPr>
      </w:pPr>
      <w:r>
        <w:rPr>
          <w:sz w:val="32"/>
        </w:rPr>
        <w:t>登录界面</w:t>
      </w:r>
      <w:bookmarkStart w:id="0" w:name="_GoBack"/>
      <w:bookmarkEnd w:id="0"/>
    </w:p>
    <w:p>
      <w:pPr>
        <w:ind w:firstLine="560"/>
      </w:pPr>
      <w:r>
        <w:t>登录地址：</w:t>
      </w:r>
      <w:r>
        <w:rPr>
          <w:rFonts w:ascii="宋体" w:hAnsi="宋体" w:eastAsia="宋体" w:cs="宋体"/>
          <w:sz w:val="32"/>
          <w:szCs w:val="32"/>
        </w:rPr>
        <w:t>jsjtcjrh.suzhou.edu.cn</w:t>
      </w:r>
      <w:r>
        <w:t xml:space="preserve"> 账号密码为学校信息门户账号密码</w:t>
      </w:r>
      <w:r>
        <w:br w:type="textWrapping"/>
      </w:r>
      <w:r>
        <w:drawing>
          <wp:inline distT="0" distB="0" distL="0" distR="0">
            <wp:extent cx="6181725" cy="3016250"/>
            <wp:effectExtent l="0" t="0" r="0" b="0"/>
            <wp:docPr id="1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line="204" w:lineRule="auto"/>
      </w:pPr>
      <w:r>
        <w:rPr>
          <w:sz w:val="32"/>
        </w:rPr>
        <w:t>门户首页</w:t>
      </w:r>
    </w:p>
    <w:p>
      <w:pPr>
        <w:pStyle w:val="3"/>
        <w:numPr>
          <w:ilvl w:val="0"/>
          <w:numId w:val="0"/>
        </w:numPr>
        <w:spacing w:line="204" w:lineRule="auto"/>
        <w:ind w:left="284" w:leftChars="0"/>
      </w:pPr>
      <w:r>
        <w:rPr>
          <w:sz w:val="32"/>
        </w:rPr>
        <w:br w:type="textWrapping"/>
      </w:r>
      <w:r>
        <w:drawing>
          <wp:inline distT="0" distB="0" distL="114300" distR="114300">
            <wp:extent cx="6181090" cy="3016885"/>
            <wp:effectExtent l="0" t="0" r="1016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pStyle w:val="4"/>
        <w:numPr>
          <w:ilvl w:val="0"/>
          <w:numId w:val="0"/>
        </w:numPr>
        <w:spacing w:line="204" w:lineRule="auto"/>
        <w:ind w:left="420"/>
      </w:pPr>
      <w:r>
        <w:rPr>
          <w:rFonts w:hint="eastAsia"/>
          <w:sz w:val="28"/>
        </w:rPr>
        <w:t>1</w:t>
      </w:r>
      <w:r>
        <w:rPr>
          <w:sz w:val="28"/>
        </w:rPr>
        <w:t>.2.1 首页功能</w:t>
      </w:r>
    </w:p>
    <w:p>
      <w:pPr>
        <w:ind w:firstLine="560"/>
      </w:pPr>
      <w:r>
        <w:rPr>
          <w:rFonts w:hint="eastAsia"/>
        </w:rPr>
        <w:t>（1）</w:t>
      </w:r>
      <w:r>
        <w:t xml:space="preserve">流程中心：用户相关的事宜集中点，分为待办事宜，已办事宜，我的请求，办结事宜 。              </w:t>
      </w:r>
    </w:p>
    <w:p>
      <w:pPr>
        <w:ind w:firstLine="560"/>
      </w:pPr>
      <w:r>
        <w:rPr>
          <w:rFonts w:hint="eastAsia"/>
        </w:rPr>
        <w:t>（2）</w:t>
      </w:r>
      <w:r>
        <w:t>个人事宜：用户已办和未办事宜的统计。</w:t>
      </w:r>
    </w:p>
    <w:p>
      <w:pPr>
        <w:ind w:left="1120" w:leftChars="200" w:hanging="560" w:hangingChars="200"/>
      </w:pPr>
      <w:r>
        <w:rPr>
          <w:rFonts w:hint="eastAsia"/>
        </w:rPr>
        <w:t>（3）</w:t>
      </w:r>
      <w:r>
        <w:t>快捷入口：快速进入指定模块功能的入口。</w:t>
      </w:r>
    </w:p>
    <w:p>
      <w:pPr>
        <w:ind w:left="1120" w:leftChars="200" w:hanging="560" w:hanging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滚动模板：快捷进入指定流程的入口。</w:t>
      </w:r>
    </w:p>
    <w:p>
      <w:pPr>
        <w:ind w:left="1120" w:leftChars="200" w:hanging="560" w:hanging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（5）数据统计：实时数据统计。</w:t>
      </w:r>
    </w:p>
    <w:p>
      <w:r>
        <w:br w:type="textWrapping"/>
      </w:r>
      <w:r>
        <w:drawing>
          <wp:inline distT="0" distB="0" distL="114300" distR="114300">
            <wp:extent cx="6163945" cy="3536315"/>
            <wp:effectExtent l="0" t="0" r="8255" b="698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pStyle w:val="2"/>
        <w:spacing w:line="204" w:lineRule="auto"/>
      </w:pPr>
      <w:r>
        <w:rPr>
          <w:sz w:val="40"/>
        </w:rPr>
        <w:t>工作台（五个大类）</w:t>
      </w:r>
    </w:p>
    <w:p>
      <w:pPr>
        <w:ind w:firstLine="560"/>
      </w:pPr>
      <w:r>
        <w:rPr>
          <w:rFonts w:hint="eastAsia"/>
        </w:rPr>
        <w:t>2</w:t>
      </w:r>
      <w:r>
        <w:t>.1 合作单位管理 ：合作单位的备案以及查询</w:t>
      </w:r>
      <w:r>
        <w:rPr>
          <w:rFonts w:hint="eastAsia"/>
        </w:rPr>
        <w:t>；</w:t>
      </w:r>
    </w:p>
    <w:p>
      <w:pPr>
        <w:ind w:firstLine="560"/>
      </w:pPr>
      <w:r>
        <w:rPr>
          <w:rFonts w:hint="eastAsia"/>
        </w:rPr>
        <w:t>2</w:t>
      </w:r>
      <w:r>
        <w:t>.2 合作协议管理 ：合作协议的申请以及查询</w:t>
      </w:r>
      <w:r>
        <w:rPr>
          <w:rFonts w:hint="eastAsia"/>
        </w:rPr>
        <w:t>；</w:t>
      </w:r>
    </w:p>
    <w:p>
      <w:pPr>
        <w:ind w:firstLine="560"/>
      </w:pPr>
      <w:r>
        <w:rPr>
          <w:rFonts w:hint="eastAsia"/>
        </w:rPr>
        <w:t>2</w:t>
      </w:r>
      <w:r>
        <w:t>.3 合作项目管理 ：合作项目分类管理</w:t>
      </w:r>
      <w:r>
        <w:rPr>
          <w:rFonts w:hint="eastAsia"/>
        </w:rPr>
        <w:t>；</w:t>
      </w:r>
    </w:p>
    <w:p>
      <w:pPr>
        <w:ind w:firstLine="560"/>
      </w:pPr>
      <w:r>
        <w:rPr>
          <w:rFonts w:hint="eastAsia"/>
        </w:rPr>
        <w:t>2</w:t>
      </w:r>
      <w:r>
        <w:t>.4 合作内容管理 ：校企业绩的登记以及查询</w:t>
      </w:r>
      <w:r>
        <w:rPr>
          <w:rFonts w:hint="eastAsia"/>
        </w:rPr>
        <w:t>；</w:t>
      </w:r>
    </w:p>
    <w:p>
      <w:pPr>
        <w:ind w:firstLine="560"/>
        <w:rPr>
          <w:rFonts w:hint="eastAsia"/>
        </w:rPr>
      </w:pPr>
      <w:r>
        <w:rPr>
          <w:rFonts w:hint="eastAsia"/>
        </w:rPr>
        <w:t>2</w:t>
      </w:r>
      <w:r>
        <w:t>.5 费用管理</w:t>
      </w:r>
      <w:r>
        <w:rPr>
          <w:rFonts w:hint="eastAsia"/>
        </w:rPr>
        <w:t>：</w:t>
      </w:r>
      <w:r>
        <w:t>费用备案申请以及查询</w:t>
      </w:r>
      <w:r>
        <w:rPr>
          <w:rFonts w:hint="eastAsia"/>
        </w:rPr>
        <w:t>；</w:t>
      </w:r>
    </w:p>
    <w:p>
      <w:pPr>
        <w:ind w:firstLine="560"/>
        <w:rPr>
          <w:rFonts w:hint="eastAsia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481330</wp:posOffset>
            </wp:positionV>
            <wp:extent cx="6181725" cy="3016250"/>
            <wp:effectExtent l="0" t="0" r="9525" b="0"/>
            <wp:wrapTight wrapText="bothSides">
              <wp:wrapPolygon>
                <wp:start x="0" y="0"/>
                <wp:lineTo x="0" y="21418"/>
                <wp:lineTo x="21567" y="21418"/>
                <wp:lineTo x="21567" y="0"/>
                <wp:lineTo x="0" y="0"/>
              </wp:wrapPolygon>
            </wp:wrapTight>
            <wp:docPr id="4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>
      <w:pPr>
        <w:pStyle w:val="3"/>
      </w:pPr>
      <w:r>
        <w:t>合作单位管理</w:t>
      </w:r>
    </w:p>
    <w:p>
      <w:pPr>
        <w:pStyle w:val="4"/>
        <w:numPr>
          <w:ilvl w:val="0"/>
          <w:numId w:val="0"/>
        </w:numPr>
        <w:spacing w:line="204" w:lineRule="auto"/>
        <w:ind w:left="420"/>
      </w:pPr>
      <w:r>
        <w:rPr>
          <w:sz w:val="28"/>
        </w:rPr>
        <w:t>2.1.1 合作单位查询</w:t>
      </w:r>
    </w:p>
    <w:p>
      <w:pPr>
        <w:ind w:firstLine="560"/>
      </w:pPr>
      <w:r>
        <w:t>查询已经合作的单位的信息，新的合作单位可点击右上角的合作单位备案申请进行备案。</w:t>
      </w:r>
    </w:p>
    <w:p>
      <w:pPr>
        <w:ind w:firstLine="560"/>
      </w:pPr>
      <w:r>
        <w:drawing>
          <wp:inline distT="0" distB="0" distL="0" distR="0">
            <wp:extent cx="6181725" cy="3016250"/>
            <wp:effectExtent l="0" t="0" r="0" b="0"/>
            <wp:docPr id="5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ind w:firstLine="560"/>
      </w:pPr>
    </w:p>
    <w:p>
      <w:pPr>
        <w:pStyle w:val="4"/>
        <w:numPr>
          <w:ilvl w:val="0"/>
          <w:numId w:val="0"/>
        </w:numPr>
        <w:spacing w:line="204" w:lineRule="auto"/>
        <w:ind w:left="420"/>
      </w:pPr>
      <w:r>
        <w:rPr>
          <w:sz w:val="28"/>
        </w:rPr>
        <w:t>2.1.2 合作单位备案申请</w:t>
      </w:r>
    </w:p>
    <w:p>
      <w:pPr>
        <w:ind w:firstLine="560"/>
      </w:pPr>
      <w:r>
        <w:t xml:space="preserve">     点击右上角合作单位备案申请进行单位备案。</w:t>
      </w:r>
    </w:p>
    <w:p>
      <w:pPr>
        <w:ind w:firstLine="560"/>
      </w:pPr>
      <w:r>
        <w:drawing>
          <wp:inline distT="0" distB="0" distL="0" distR="0">
            <wp:extent cx="6181725" cy="3016250"/>
            <wp:effectExtent l="0" t="0" r="0" b="0"/>
            <wp:docPr id="6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ind w:firstLine="560"/>
      </w:pPr>
      <w:r>
        <w:t>填写相关信息，红色的是必填项，填完点击提交，审核通过这个企业信息将自动录进现在的企业库里面。如果在填写中途临时需要暂存，可点击保存按钮进行保存，保存后的草稿将暂存到我的待办中。</w:t>
      </w:r>
    </w:p>
    <w:p>
      <w:pPr>
        <w:ind w:firstLine="560"/>
      </w:pPr>
      <w:r>
        <w:drawing>
          <wp:inline distT="0" distB="0" distL="0" distR="0">
            <wp:extent cx="6181725" cy="3016250"/>
            <wp:effectExtent l="0" t="0" r="0" b="0"/>
            <wp:docPr id="7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ind w:firstLine="560"/>
      </w:pPr>
    </w:p>
    <w:p>
      <w:pPr>
        <w:pStyle w:val="3"/>
        <w:numPr>
          <w:ilvl w:val="1"/>
          <w:numId w:val="5"/>
        </w:numPr>
      </w:pPr>
      <w:r>
        <w:t>合作协议管理</w:t>
      </w:r>
    </w:p>
    <w:p>
      <w:pPr>
        <w:pStyle w:val="4"/>
        <w:numPr>
          <w:ilvl w:val="0"/>
          <w:numId w:val="0"/>
        </w:numPr>
        <w:spacing w:line="204" w:lineRule="auto"/>
        <w:ind w:left="420"/>
      </w:pPr>
      <w:r>
        <w:rPr>
          <w:rFonts w:hint="eastAsia"/>
          <w:sz w:val="28"/>
        </w:rPr>
        <w:t>2</w:t>
      </w:r>
      <w:r>
        <w:rPr>
          <w:sz w:val="28"/>
        </w:rPr>
        <w:t>.2.1 合作协议申请</w:t>
      </w:r>
    </w:p>
    <w:p>
      <w:pPr>
        <w:ind w:firstLine="560"/>
        <w:rPr>
          <w:rFonts w:hint="eastAsia"/>
        </w:rPr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 xml:space="preserve">产学研合作协议申请   </w:t>
      </w:r>
    </w:p>
    <w:p>
      <w:pPr>
        <w:ind w:firstLine="560"/>
      </w:pPr>
      <w:r>
        <w:rPr>
          <w:rFonts w:hint="eastAsia"/>
        </w:rPr>
        <w:t>（2）</w:t>
      </w:r>
      <w:r>
        <w:t xml:space="preserve">共建企业学院协议申请   </w:t>
      </w:r>
    </w:p>
    <w:p>
      <w:pPr>
        <w:ind w:firstLine="560"/>
      </w:pPr>
      <w:r>
        <w:rPr>
          <w:rFonts w:hint="eastAsia"/>
        </w:rPr>
        <w:t>（3）</w:t>
      </w:r>
      <w:r>
        <w:t xml:space="preserve">现代学徒制试点协议申请 </w:t>
      </w:r>
    </w:p>
    <w:p>
      <w:pPr>
        <w:ind w:firstLine="560"/>
      </w:pPr>
      <w:r>
        <w:rPr>
          <w:rFonts w:hint="eastAsia"/>
        </w:rPr>
        <w:t>（4）</w:t>
      </w:r>
      <w:r>
        <w:t xml:space="preserve">订单班联合培养协议申请    </w:t>
      </w:r>
    </w:p>
    <w:p>
      <w:pPr>
        <w:ind w:firstLine="560"/>
      </w:pPr>
      <w:r>
        <w:rPr>
          <w:rFonts w:hint="eastAsia"/>
        </w:rPr>
        <w:t>（5）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530860</wp:posOffset>
            </wp:positionV>
            <wp:extent cx="6181725" cy="3016250"/>
            <wp:effectExtent l="0" t="0" r="9525" b="0"/>
            <wp:wrapTopAndBottom/>
            <wp:docPr id="8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企业服务协议申请</w:t>
      </w:r>
      <w:r>
        <w:br w:type="textWrapping"/>
      </w:r>
    </w:p>
    <w:p>
      <w:pPr>
        <w:ind w:firstLine="560"/>
      </w:pPr>
    </w:p>
    <w:p>
      <w:pPr>
        <w:ind w:firstLine="560"/>
      </w:pPr>
      <w:r>
        <w:t>下面以产学研合作协议申请为例:</w:t>
      </w:r>
    </w:p>
    <w:p>
      <w:pPr>
        <w:ind w:firstLine="560"/>
      </w:pPr>
      <w:r>
        <w:t>填写相关信息，红色的是必填项，填完点击提交,审核通过后这个协议将录进协议库中。如果在填写中途临时需要暂存，可点击保存按钮进行保存，保存后的草稿将暂存到我的待办中。</w:t>
      </w:r>
      <w:r>
        <w:br w:type="textWrapping"/>
      </w:r>
      <w:r>
        <w:drawing>
          <wp:inline distT="0" distB="0" distL="0" distR="0">
            <wp:extent cx="6181725" cy="3016250"/>
            <wp:effectExtent l="0" t="0" r="0" b="0"/>
            <wp:docPr id="9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line="204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>2.2.2 合作协议查询</w:t>
      </w:r>
    </w:p>
    <w:p>
      <w:pPr>
        <w:ind w:firstLine="560"/>
      </w:pPr>
      <w:r>
        <w:t>查询已有的合作协议，如需导出协议，点击右上角的按钮，如下图所示。</w:t>
      </w:r>
      <w:r>
        <w:br w:type="textWrapping"/>
      </w:r>
      <w:r>
        <w:drawing>
          <wp:inline distT="0" distB="0" distL="0" distR="0">
            <wp:extent cx="6181725" cy="3016250"/>
            <wp:effectExtent l="0" t="0" r="0" b="0"/>
            <wp:docPr id="10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pStyle w:val="3"/>
        <w:numPr>
          <w:ilvl w:val="1"/>
          <w:numId w:val="5"/>
        </w:numPr>
      </w:pPr>
      <w:r>
        <w:t>合作项目管理</w:t>
      </w:r>
    </w:p>
    <w:p>
      <w:pPr>
        <w:ind w:firstLine="560"/>
        <w:rPr>
          <w:rFonts w:hint="eastAsia"/>
          <w:b/>
          <w:bCs/>
        </w:rPr>
      </w:pPr>
      <w:r>
        <w:rPr>
          <w:b/>
          <w:bCs/>
        </w:rPr>
        <w:t>对已有的合作项目分为以下六个大类区分管理</w:t>
      </w:r>
      <w:r>
        <w:rPr>
          <w:rFonts w:hint="eastAsia"/>
          <w:b/>
          <w:bCs/>
        </w:rPr>
        <w:t>：</w:t>
      </w:r>
    </w:p>
    <w:p>
      <w:pPr>
        <w:ind w:firstLine="560"/>
      </w:pPr>
      <w:r>
        <w:rPr>
          <w:rFonts w:hint="eastAsia"/>
        </w:rPr>
        <w:t>（1）</w:t>
      </w:r>
      <w:r>
        <w:t xml:space="preserve">产学研合作项目管理   </w:t>
      </w:r>
    </w:p>
    <w:p>
      <w:pPr>
        <w:ind w:firstLine="560"/>
      </w:pPr>
      <w:r>
        <w:rPr>
          <w:rFonts w:hint="eastAsia"/>
        </w:rPr>
        <w:t>（2）</w:t>
      </w:r>
      <w:r>
        <w:t xml:space="preserve">企业服务项目管理   </w:t>
      </w:r>
    </w:p>
    <w:p>
      <w:pPr>
        <w:ind w:firstLine="560"/>
      </w:pPr>
      <w:r>
        <w:rPr>
          <w:rFonts w:hint="eastAsia"/>
        </w:rPr>
        <w:t>（3）</w:t>
      </w:r>
      <w:r>
        <w:t xml:space="preserve">订单班校企联合培养项目管理 </w:t>
      </w:r>
    </w:p>
    <w:p>
      <w:pPr>
        <w:ind w:firstLine="560"/>
      </w:pPr>
      <w:r>
        <w:rPr>
          <w:rFonts w:hint="eastAsia"/>
        </w:rPr>
        <w:t>（4）</w:t>
      </w:r>
      <w:r>
        <w:t xml:space="preserve">现代学徒制项目管理    </w:t>
      </w:r>
    </w:p>
    <w:p>
      <w:pPr>
        <w:ind w:firstLine="560"/>
      </w:pPr>
      <w:r>
        <w:rPr>
          <w:rFonts w:hint="eastAsia"/>
        </w:rPr>
        <w:t>（5）</w:t>
      </w:r>
      <w:r>
        <w:t xml:space="preserve">企业学院管理          </w:t>
      </w:r>
    </w:p>
    <w:p>
      <w:pPr>
        <w:ind w:firstLine="560"/>
      </w:pPr>
      <w:r>
        <w:rPr>
          <w:rFonts w:hint="eastAsia"/>
        </w:rPr>
        <w:t>（6）</w:t>
      </w:r>
      <w:r>
        <w:t>职教集团管理</w:t>
      </w:r>
    </w:p>
    <w:p>
      <w:pPr>
        <w:ind w:firstLine="560"/>
      </w:pPr>
      <w:r>
        <w:t>下面以企业学院管理为例：</w:t>
      </w:r>
    </w:p>
    <w:p>
      <w:pPr>
        <w:ind w:firstLine="560"/>
      </w:pPr>
      <w:r>
        <w:t>查询协议后如需导出，请点击右上角导出按钮。</w:t>
      </w:r>
    </w:p>
    <w:p>
      <w:pPr>
        <w:ind w:firstLine="560"/>
      </w:pPr>
      <w:r>
        <w:drawing>
          <wp:inline distT="0" distB="0" distL="0" distR="0">
            <wp:extent cx="6181725" cy="3016250"/>
            <wp:effectExtent l="0" t="0" r="0" b="0"/>
            <wp:docPr id="11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ind w:firstLine="560"/>
      </w:pPr>
    </w:p>
    <w:p>
      <w:pPr>
        <w:pStyle w:val="3"/>
        <w:numPr>
          <w:ilvl w:val="1"/>
          <w:numId w:val="5"/>
        </w:numPr>
      </w:pPr>
      <w:r>
        <w:t>合作内容管理</w:t>
      </w:r>
    </w:p>
    <w:p>
      <w:pPr>
        <w:pStyle w:val="4"/>
        <w:numPr>
          <w:ilvl w:val="0"/>
          <w:numId w:val="0"/>
        </w:numPr>
        <w:spacing w:line="204" w:lineRule="auto"/>
        <w:ind w:left="420"/>
      </w:pPr>
      <w:r>
        <w:rPr>
          <w:sz w:val="28"/>
        </w:rPr>
        <w:t>2.4.1 校企业绩</w:t>
      </w:r>
    </w:p>
    <w:p>
      <w:pPr>
        <w:ind w:firstLine="560"/>
        <w:rPr>
          <w:b/>
          <w:bCs/>
        </w:rPr>
      </w:pPr>
      <w:r>
        <w:rPr>
          <w:b/>
          <w:bCs/>
        </w:rPr>
        <w:t>校企业绩根据不同权限分为三个菜单</w:t>
      </w:r>
      <w:r>
        <w:rPr>
          <w:rFonts w:hint="eastAsia"/>
          <w:b/>
          <w:bCs/>
        </w:rPr>
        <w:t>：</w:t>
      </w:r>
    </w:p>
    <w:p>
      <w:pPr>
        <w:ind w:firstLine="560"/>
      </w:pPr>
      <w:r>
        <w:rPr>
          <w:rFonts w:hint="eastAsia"/>
        </w:rPr>
        <w:t>（1）</w:t>
      </w:r>
      <w:r>
        <w:t>个人业绩（教师个人查询自己申报的业绩）</w:t>
      </w:r>
    </w:p>
    <w:p>
      <w:pPr>
        <w:ind w:firstLine="560"/>
      </w:pPr>
      <w:r>
        <w:rPr>
          <w:rFonts w:hint="eastAsia"/>
        </w:rPr>
        <w:t>（2）</w:t>
      </w:r>
      <w:r>
        <w:t xml:space="preserve">部门业绩  (部门相关领导可查询自己部门内所有人申报的业绩） </w:t>
      </w:r>
    </w:p>
    <w:p>
      <w:pPr>
        <w:ind w:firstLine="560"/>
      </w:pPr>
      <w:r>
        <w:rPr>
          <w:rFonts w:hint="eastAsia"/>
        </w:rPr>
        <w:t>（3）</w:t>
      </w:r>
      <w:r>
        <w:t>全校业绩（校领导查询全校所有申报的业绩）</w:t>
      </w:r>
    </w:p>
    <w:p>
      <w:pPr>
        <w:ind w:firstLine="560"/>
        <w:rPr>
          <w:b/>
          <w:bCs/>
        </w:rPr>
      </w:pPr>
      <w:r>
        <w:rPr>
          <w:b/>
          <w:bCs/>
        </w:rPr>
        <w:t>页面功能请看下图所示标识：</w:t>
      </w:r>
    </w:p>
    <w:p>
      <w:pPr>
        <w:ind w:firstLine="560"/>
      </w:pPr>
      <w:r>
        <w:rPr>
          <w:rFonts w:hint="eastAsia"/>
        </w:rPr>
        <w:t>（1）</w:t>
      </w:r>
      <w:r>
        <w:t>各项业绩分类</w:t>
      </w:r>
    </w:p>
    <w:p>
      <w:pPr>
        <w:ind w:firstLine="560"/>
      </w:pPr>
      <w:r>
        <w:rPr>
          <w:rFonts w:hint="eastAsia"/>
        </w:rPr>
        <w:t>（2）</w:t>
      </w:r>
      <w:r>
        <w:t>针对该项业绩的查询（图中所示是企业兼职教师）</w:t>
      </w:r>
    </w:p>
    <w:p>
      <w:pPr>
        <w:ind w:firstLine="560"/>
      </w:pPr>
      <w:r>
        <w:rPr>
          <w:rFonts w:hint="eastAsia"/>
        </w:rPr>
        <w:t>（3）</w:t>
      </w:r>
      <w:r>
        <w:t>针对该项业绩的申请（图中所示是企业兼职教师）</w:t>
      </w:r>
    </w:p>
    <w:p>
      <w:pPr>
        <w:ind w:firstLine="560"/>
      </w:pPr>
      <w:r>
        <w:rPr>
          <w:rFonts w:hint="eastAsia"/>
        </w:rPr>
        <w:t>（4）</w:t>
      </w:r>
      <w:r>
        <w:t>根据时间对该项业绩不同老师申请进行一个时间区分查询</w:t>
      </w:r>
    </w:p>
    <w:p>
      <w:pPr>
        <w:ind w:firstLine="560"/>
      </w:pPr>
      <w:r>
        <w:drawing>
          <wp:inline distT="0" distB="0" distL="0" distR="0">
            <wp:extent cx="6181725" cy="3019425"/>
            <wp:effectExtent l="0" t="0" r="0" b="0"/>
            <wp:docPr id="12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</w:p>
    <w:p>
      <w:pPr>
        <w:pStyle w:val="3"/>
        <w:numPr>
          <w:ilvl w:val="1"/>
          <w:numId w:val="5"/>
        </w:numPr>
      </w:pPr>
      <w:r>
        <w:t>费用管理</w:t>
      </w:r>
    </w:p>
    <w:p>
      <w:pPr>
        <w:pStyle w:val="4"/>
        <w:numPr>
          <w:ilvl w:val="0"/>
          <w:numId w:val="0"/>
        </w:numPr>
        <w:ind w:left="420"/>
        <w:rPr>
          <w:sz w:val="28"/>
        </w:rPr>
      </w:pPr>
      <w:r>
        <w:rPr>
          <w:sz w:val="28"/>
        </w:rPr>
        <w:t xml:space="preserve">2.5.1 费用备案申请 </w:t>
      </w:r>
    </w:p>
    <w:p>
      <w:pPr>
        <w:ind w:firstLine="560"/>
      </w:pPr>
      <w:r>
        <w:t>填写相关信息，红色的是必填项，填完点击提交,审核通过后信息将保存到费用备案申请库中。如果在填写中途临时需要暂存，可点击保存按钮进行保存，保存后的草稿将暂存到我的待办中。</w:t>
      </w:r>
    </w:p>
    <w:p>
      <w:pPr>
        <w:ind w:firstLine="560"/>
      </w:pPr>
      <w:r>
        <w:drawing>
          <wp:inline distT="0" distB="0" distL="0" distR="0">
            <wp:extent cx="6181725" cy="3016250"/>
            <wp:effectExtent l="0" t="0" r="0" b="0"/>
            <wp:docPr id="13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420"/>
        <w:rPr>
          <w:sz w:val="28"/>
        </w:rPr>
      </w:pPr>
      <w:r>
        <w:rPr>
          <w:sz w:val="28"/>
        </w:rPr>
        <w:t>2.5.2费用备案查询</w:t>
      </w:r>
    </w:p>
    <w:p>
      <w:pPr>
        <w:ind w:firstLine="560"/>
      </w:pPr>
      <w:r>
        <w:t>对已经备案的信息进行查询，如需导出请点击右上角导出按钮。</w:t>
      </w:r>
    </w:p>
    <w:p>
      <w:pPr>
        <w:ind w:firstLine="560"/>
      </w:pPr>
      <w:r>
        <w:drawing>
          <wp:inline distT="0" distB="0" distL="0" distR="0">
            <wp:extent cx="6181725" cy="3016250"/>
            <wp:effectExtent l="0" t="0" r="0" b="0"/>
            <wp:docPr id="14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pStyle w:val="2"/>
        <w:bidi w:val="0"/>
        <w:ind w:left="420" w:leftChars="0" w:hanging="420" w:firstLineChars="0"/>
      </w:pPr>
      <w:r>
        <w:t>考核体系资料上传：点击新建按钮上传相对应的考核体系资料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169025" cy="3529965"/>
            <wp:effectExtent l="0" t="0" r="317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169025" cy="3529965"/>
            <wp:effectExtent l="0" t="0" r="317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95" w:h="16830" w:orient="landscape"/>
      <w:pgMar w:top="1440" w:right="1080" w:bottom="1440" w:left="1080" w:header="638" w:footer="69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FB244F"/>
    <w:multiLevelType w:val="multilevel"/>
    <w:tmpl w:val="14FB244F"/>
    <w:lvl w:ilvl="0" w:tentative="0">
      <w:start w:val="2"/>
      <w:numFmt w:val="decimal"/>
      <w:pStyle w:val="3"/>
      <w:lvlText w:val="%1.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17474CB"/>
    <w:multiLevelType w:val="multilevel"/>
    <w:tmpl w:val="617474CB"/>
    <w:lvl w:ilvl="0" w:tentative="0">
      <w:start w:val="1"/>
      <w:numFmt w:val="decimal"/>
      <w:pStyle w:val="5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BEF0402"/>
    <w:multiLevelType w:val="multilevel"/>
    <w:tmpl w:val="6BEF0402"/>
    <w:lvl w:ilvl="0" w:tentative="0">
      <w:start w:val="1"/>
      <w:numFmt w:val="decimal"/>
      <w:pStyle w:val="4"/>
      <w:lvlText w:val="%1.1.1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EA21357"/>
    <w:multiLevelType w:val="multilevel"/>
    <w:tmpl w:val="6EA21357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isLgl/>
      <w:lvlText w:val="%1.%2"/>
      <w:lvlJc w:val="left"/>
      <w:pPr>
        <w:ind w:left="1004" w:hanging="720"/>
      </w:pPr>
      <w:rPr>
        <w:rFonts w:hint="default"/>
        <w:sz w:val="32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32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sz w:val="32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  <w:sz w:val="32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  <w:sz w:val="32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sz w:val="32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3"/>
    <w:lvlOverride w:ilvl="0">
      <w:startOverride w:val="2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k0ZjYzNWU1NjgzOWU1OWVlOGIxODIwNjJjMzg3MzYifQ=="/>
  </w:docVars>
  <w:rsids>
    <w:rsidRoot w:val="0063148F"/>
    <w:rsid w:val="001311C6"/>
    <w:rsid w:val="001E31F0"/>
    <w:rsid w:val="00440218"/>
    <w:rsid w:val="005A2E3D"/>
    <w:rsid w:val="005D22EA"/>
    <w:rsid w:val="006200FB"/>
    <w:rsid w:val="0063148F"/>
    <w:rsid w:val="007664C4"/>
    <w:rsid w:val="008A4369"/>
    <w:rsid w:val="00A911E7"/>
    <w:rsid w:val="00AC00C6"/>
    <w:rsid w:val="00DC752D"/>
    <w:rsid w:val="021C2246"/>
    <w:rsid w:val="58EE060C"/>
    <w:rsid w:val="597FADFB"/>
    <w:rsid w:val="73D6B45A"/>
    <w:rsid w:val="9EF3B98E"/>
    <w:rsid w:val="B7CCE3CB"/>
    <w:rsid w:val="EAFC7317"/>
    <w:rsid w:val="FDFEFC05"/>
    <w:rsid w:val="FE5E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8"/>
      <w:lang w:val="en-US" w:eastAsia="zh-CN" w:bidi="ar-SA"/>
    </w:rPr>
  </w:style>
  <w:style w:type="paragraph" w:styleId="2">
    <w:name w:val="heading 1"/>
    <w:next w:val="1"/>
    <w:qFormat/>
    <w:uiPriority w:val="9"/>
    <w:pPr>
      <w:keepNext/>
      <w:keepLines/>
      <w:numPr>
        <w:ilvl w:val="0"/>
        <w:numId w:val="1"/>
      </w:numPr>
      <w:spacing w:before="348" w:after="210"/>
      <w:outlineLvl w:val="0"/>
    </w:pPr>
    <w:rPr>
      <w:rFonts w:asciiTheme="minorHAnsi" w:hAnsiTheme="minorHAnsi" w:eastAsiaTheme="minorEastAsia" w:cstheme="minorBidi"/>
      <w:b/>
      <w:kern w:val="2"/>
      <w:sz w:val="34"/>
      <w:lang w:val="en-US" w:eastAsia="zh-CN" w:bidi="ar-SA"/>
    </w:rPr>
  </w:style>
  <w:style w:type="paragraph" w:styleId="3">
    <w:name w:val="heading 2"/>
    <w:next w:val="1"/>
    <w:unhideWhenUsed/>
    <w:qFormat/>
    <w:uiPriority w:val="9"/>
    <w:pPr>
      <w:keepNext/>
      <w:keepLines/>
      <w:numPr>
        <w:ilvl w:val="0"/>
        <w:numId w:val="2"/>
      </w:numPr>
      <w:spacing w:before="348" w:after="190"/>
      <w:outlineLvl w:val="1"/>
    </w:pPr>
    <w:rPr>
      <w:rFonts w:asciiTheme="minorHAnsi" w:hAnsiTheme="minorHAnsi" w:eastAsiaTheme="minorEastAsia" w:cstheme="minorBidi"/>
      <w:b/>
      <w:kern w:val="2"/>
      <w:sz w:val="28"/>
      <w:lang w:val="en-US" w:eastAsia="zh-CN" w:bidi="ar-SA"/>
    </w:rPr>
  </w:style>
  <w:style w:type="paragraph" w:styleId="4">
    <w:name w:val="heading 3"/>
    <w:next w:val="1"/>
    <w:unhideWhenUsed/>
    <w:qFormat/>
    <w:uiPriority w:val="9"/>
    <w:pPr>
      <w:keepNext/>
      <w:keepLines/>
      <w:numPr>
        <w:ilvl w:val="0"/>
        <w:numId w:val="3"/>
      </w:numPr>
      <w:spacing w:before="348" w:after="170"/>
      <w:outlineLvl w:val="2"/>
    </w:pPr>
    <w:rPr>
      <w:rFonts w:asciiTheme="minorHAnsi" w:hAnsiTheme="minorHAnsi" w:eastAsiaTheme="minorEastAsia" w:cstheme="minorBidi"/>
      <w:b/>
      <w:kern w:val="2"/>
      <w:sz w:val="22"/>
      <w:lang w:val="en-US" w:eastAsia="zh-CN" w:bidi="ar-SA"/>
    </w:rPr>
  </w:style>
  <w:style w:type="paragraph" w:styleId="5">
    <w:name w:val="heading 4"/>
    <w:next w:val="1"/>
    <w:unhideWhenUsed/>
    <w:qFormat/>
    <w:uiPriority w:val="9"/>
    <w:pPr>
      <w:keepNext/>
      <w:keepLines/>
      <w:numPr>
        <w:ilvl w:val="0"/>
        <w:numId w:val="4"/>
      </w:numPr>
      <w:spacing w:before="348" w:after="150"/>
      <w:outlineLvl w:val="3"/>
    </w:pPr>
    <w:rPr>
      <w:rFonts w:asciiTheme="minorHAnsi" w:hAnsiTheme="minorHAnsi" w:eastAsiaTheme="minorEastAsia" w:cstheme="minorBidi"/>
      <w:b/>
      <w:kern w:val="2"/>
      <w:sz w:val="16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Table Grid"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9">
    <w:name w:val="Hyperlink"/>
    <w:qFormat/>
    <w:uiPriority w:val="0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1131</Words>
  <Characters>1189</Characters>
  <Lines>9</Lines>
  <Paragraphs>2</Paragraphs>
  <TotalTime>26</TotalTime>
  <ScaleCrop>false</ScaleCrop>
  <LinksUpToDate>false</LinksUpToDate>
  <CharactersWithSpaces>1263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1970-01-02T16:00:00Z</dcterms:created>
  <dc:creator>DingTalk</dc:creator>
  <dc:description>DingTalk Document</dc:description>
  <cp:lastModifiedBy>赵玉平15305255012</cp:lastModifiedBy>
  <dcterms:modified xsi:type="dcterms:W3CDTF">2022-09-21T01:36:43Z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F7485F2FFBDE4016AE1814A47127FD0C</vt:lpwstr>
  </property>
</Properties>
</file>